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181600" cy="86677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52734" l="6979" r="23986" t="7067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From: Smekens Education </w:t>
      </w:r>
    </w:p>
    <w:tbl>
      <w:tblPr>
        <w:tblStyle w:val="Table1"/>
        <w:bidi w:val="0"/>
        <w:tblW w:w="10290.0" w:type="dxa"/>
        <w:jc w:val="left"/>
        <w:tblInd w:w="-5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85"/>
        <w:gridCol w:w="5400"/>
        <w:gridCol w:w="3705"/>
        <w:tblGridChange w:id="0">
          <w:tblGrid>
            <w:gridCol w:w="1185"/>
            <w:gridCol w:w="5400"/>
            <w:gridCol w:w="37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M-Me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Georgia" w:cs="Georgia" w:eastAsia="Georgia" w:hAnsi="Georgia"/>
                <w:highlight w:val="white"/>
                <w:rtl w:val="0"/>
              </w:rPr>
              <w:t xml:space="preserve">Reword the question; state a personal opinion or direct response to the question.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A-Author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highlight w:val="white"/>
                <w:rtl w:val="0"/>
              </w:rPr>
              <w:t xml:space="preserve">Look at what the author said and include a detail from the text to support answer.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highlight w:val="white"/>
                <w:rtl w:val="0"/>
              </w:rPr>
              <w:t xml:space="preserve">In the text...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highlight w:val="white"/>
                <w:rtl w:val="0"/>
              </w:rPr>
              <w:t xml:space="preserve">The text states...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highlight w:val="white"/>
                <w:rtl w:val="0"/>
              </w:rPr>
              <w:t xml:space="preserve">According to the passage...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highlight w:val="white"/>
                <w:rtl w:val="0"/>
              </w:rPr>
              <w:t xml:space="preserve">One example from the text...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highlight w:val="white"/>
                <w:rtl w:val="0"/>
              </w:rPr>
              <w:t xml:space="preserve">The author states...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A-Author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highlight w:val="white"/>
                <w:rtl w:val="0"/>
              </w:rPr>
              <w:t xml:space="preserve">You may find another detail to support your answer.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highlight w:val="white"/>
                <w:rtl w:val="0"/>
              </w:rPr>
              <w:t xml:space="preserve">In the text...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highlight w:val="white"/>
                <w:rtl w:val="0"/>
              </w:rPr>
              <w:t xml:space="preserve">The text also states...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highlight w:val="white"/>
                <w:rtl w:val="0"/>
              </w:rPr>
              <w:t xml:space="preserve">According to the passage...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highlight w:val="white"/>
                <w:rtl w:val="0"/>
              </w:rPr>
              <w:t xml:space="preserve">A second example from the text...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highlight w:val="white"/>
                <w:rtl w:val="0"/>
              </w:rPr>
              <w:t xml:space="preserve">The author also states...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M-Me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highlight w:val="white"/>
                <w:rtl w:val="0"/>
              </w:rPr>
              <w:t xml:space="preserve">Back to me! You explain or interpret the significance of the evidence.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highlight w:val="white"/>
                <w:rtl w:val="0"/>
              </w:rPr>
              <w:t xml:space="preserve">This shows...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highlight w:val="white"/>
                <w:rtl w:val="0"/>
              </w:rPr>
              <w:t xml:space="preserve">This demonstrates...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highlight w:val="white"/>
                <w:rtl w:val="0"/>
              </w:rPr>
              <w:t xml:space="preserve">I believe...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highlight w:val="white"/>
                <w:rtl w:val="0"/>
              </w:rPr>
              <w:t xml:space="preserve">Now I know...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highlight w:val="white"/>
                <w:rtl w:val="0"/>
              </w:rPr>
              <w:t xml:space="preserve">This proves...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- See more at: http://www.smekenseducation.com/constructed-responses-require-textual-evidence.html#sthash.nxsp7Ewv.dpuf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Sample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The sample below demonstrates how to weave textual details into a written response. It shows how a writer can use sequence words as sentence starters as an alternative in some situations to the sentence starters listed above.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Focus Question: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ab/>
        <w:tab/>
        <w:tab/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How would you describe </w:t>
      </w: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highlight w:val="white"/>
          <w:rtl w:val="0"/>
        </w:rPr>
        <w:t xml:space="preserve">Little Red Riding Hood? </w:t>
      </w:r>
      <w:r w:rsidDel="00000000" w:rsidR="00000000" w:rsidRPr="00000000">
        <w:rPr>
          <w:rFonts w:ascii="Cambria" w:cs="Cambria" w:eastAsia="Cambria" w:hAnsi="Cambria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highlight w:val="white"/>
          <w:rtl w:val="0"/>
        </w:rPr>
        <w:t xml:space="preserve">Little Red Riding Hood can easily be described as naïve. 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8"/>
          <w:szCs w:val="28"/>
          <w:highlight w:val="white"/>
          <w:rtl w:val="0"/>
        </w:rPr>
        <w:t xml:space="preserve">In the beginning </w:t>
      </w: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highlight w:val="white"/>
          <w:rtl w:val="0"/>
        </w:rPr>
        <w:t xml:space="preserve">of the story, she wanders off the main path within the woods (p. 3) because she is so caught up in her own singing. 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8"/>
          <w:szCs w:val="28"/>
          <w:highlight w:val="white"/>
          <w:rtl w:val="0"/>
        </w:rPr>
        <w:t xml:space="preserve">Then</w:t>
      </w: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highlight w:val="white"/>
          <w:rtl w:val="0"/>
        </w:rPr>
        <w:t xml:space="preserve"> when seeing "Grandma,” her first instinct isn’t "Something’s wrong."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8"/>
          <w:szCs w:val="28"/>
          <w:highlight w:val="white"/>
          <w:rtl w:val="0"/>
        </w:rPr>
        <w:t xml:space="preserve">Rather, </w:t>
      </w: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highlight w:val="white"/>
          <w:rtl w:val="0"/>
        </w:rPr>
        <w:t xml:space="preserve">she does a full scale physical description of her eyes (p.7), ears (p.8) and teeth (p.9).</w:t>
      </w:r>
      <w:r w:rsidDel="00000000" w:rsidR="00000000" w:rsidRPr="00000000">
        <w:rPr>
          <w:rFonts w:ascii="Cambria" w:cs="Cambria" w:eastAsia="Cambria" w:hAnsi="Cambria"/>
          <w:sz w:val="28"/>
          <w:szCs w:val="28"/>
          <w:highlight w:val="white"/>
          <w:rtl w:val="0"/>
        </w:rPr>
        <w:t xml:space="preserve"> 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8"/>
          <w:szCs w:val="28"/>
          <w:highlight w:val="white"/>
          <w:rtl w:val="0"/>
        </w:rPr>
        <w:t xml:space="preserve">These details demonstrate </w:t>
      </w:r>
      <w:r w:rsidDel="00000000" w:rsidR="00000000" w:rsidRPr="00000000">
        <w:rPr>
          <w:rFonts w:ascii="Cambria" w:cs="Cambria" w:eastAsia="Cambria" w:hAnsi="Cambria"/>
          <w:sz w:val="28"/>
          <w:szCs w:val="28"/>
          <w:highlight w:val="white"/>
          <w:rtl w:val="0"/>
        </w:rPr>
        <w:t xml:space="preserve">how Little Red Riding Hood lacks experience and information in the ways of the world.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